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62" w:type="dxa"/>
        <w:tblCellMar>
          <w:left w:w="0" w:type="dxa"/>
          <w:right w:w="0" w:type="dxa"/>
        </w:tblCellMar>
        <w:tblLook w:val="04A0" w:firstRow="1" w:lastRow="0" w:firstColumn="1" w:lastColumn="0" w:noHBand="0" w:noVBand="1"/>
      </w:tblPr>
      <w:tblGrid>
        <w:gridCol w:w="1862"/>
        <w:gridCol w:w="5200"/>
      </w:tblGrid>
      <w:tr w:rsidR="00FE6AB0" w:rsidRPr="00FE6AB0" w:rsidTr="00071535">
        <w:tc>
          <w:tcPr>
            <w:tcW w:w="1862" w:type="dxa"/>
            <w:tcBorders>
              <w:top w:val="nil"/>
              <w:left w:val="nil"/>
              <w:bottom w:val="nil"/>
              <w:right w:val="nil"/>
            </w:tcBorders>
            <w:noWrap/>
            <w:tcMar>
              <w:top w:w="60" w:type="dxa"/>
              <w:left w:w="0" w:type="dxa"/>
              <w:bottom w:w="60" w:type="dxa"/>
              <w:right w:w="120" w:type="dxa"/>
            </w:tcMar>
            <w:hideMark/>
          </w:tcPr>
          <w:p w:rsidR="00FE6AB0" w:rsidRPr="00FE6AB0" w:rsidRDefault="00FE6AB0" w:rsidP="00071535">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Issuer:</w:t>
            </w:r>
          </w:p>
        </w:tc>
        <w:tc>
          <w:tcPr>
            <w:tcW w:w="0" w:type="auto"/>
            <w:tcBorders>
              <w:top w:val="nil"/>
              <w:left w:val="nil"/>
              <w:bottom w:val="nil"/>
              <w:right w:val="nil"/>
            </w:tcBorders>
            <w:tcMar>
              <w:top w:w="60" w:type="dxa"/>
              <w:left w:w="0" w:type="dxa"/>
              <w:bottom w:w="60" w:type="dxa"/>
              <w:right w:w="0" w:type="dxa"/>
            </w:tcMar>
            <w:hideMark/>
          </w:tcPr>
          <w:p w:rsidR="00FE6AB0" w:rsidRPr="00FE6AB0" w:rsidRDefault="00FE6AB0" w:rsidP="00071535">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Minister of Health and Labour</w:t>
            </w:r>
          </w:p>
        </w:tc>
      </w:tr>
      <w:tr w:rsidR="00FE6AB0" w:rsidRPr="00FE6AB0" w:rsidTr="00071535">
        <w:tc>
          <w:tcPr>
            <w:tcW w:w="1862" w:type="dxa"/>
            <w:tcBorders>
              <w:top w:val="nil"/>
              <w:left w:val="nil"/>
              <w:bottom w:val="nil"/>
              <w:right w:val="nil"/>
            </w:tcBorders>
            <w:noWrap/>
            <w:tcMar>
              <w:top w:w="60" w:type="dxa"/>
              <w:left w:w="0" w:type="dxa"/>
              <w:bottom w:w="60" w:type="dxa"/>
              <w:right w:w="120" w:type="dxa"/>
            </w:tcMar>
            <w:hideMark/>
          </w:tcPr>
          <w:p w:rsidR="00FE6AB0" w:rsidRPr="00FE6AB0" w:rsidRDefault="00FE6AB0" w:rsidP="00071535">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Type of act:</w:t>
            </w:r>
          </w:p>
        </w:tc>
        <w:tc>
          <w:tcPr>
            <w:tcW w:w="0" w:type="auto"/>
            <w:tcBorders>
              <w:top w:val="nil"/>
              <w:left w:val="nil"/>
              <w:bottom w:val="nil"/>
              <w:right w:val="nil"/>
            </w:tcBorders>
            <w:tcMar>
              <w:top w:w="60" w:type="dxa"/>
              <w:left w:w="0" w:type="dxa"/>
              <w:bottom w:w="60" w:type="dxa"/>
              <w:right w:w="0" w:type="dxa"/>
            </w:tcMar>
            <w:hideMark/>
          </w:tcPr>
          <w:p w:rsidR="00FE6AB0" w:rsidRPr="00FE6AB0" w:rsidRDefault="00FE6AB0" w:rsidP="00071535">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Regulation</w:t>
            </w:r>
          </w:p>
        </w:tc>
      </w:tr>
      <w:tr w:rsidR="00FE6AB0" w:rsidRPr="00FE6AB0" w:rsidTr="00071535">
        <w:tc>
          <w:tcPr>
            <w:tcW w:w="1862" w:type="dxa"/>
            <w:tcBorders>
              <w:top w:val="nil"/>
              <w:left w:val="nil"/>
              <w:bottom w:val="nil"/>
              <w:right w:val="nil"/>
            </w:tcBorders>
            <w:noWrap/>
            <w:tcMar>
              <w:top w:w="60" w:type="dxa"/>
              <w:left w:w="0" w:type="dxa"/>
              <w:bottom w:w="60" w:type="dxa"/>
              <w:right w:w="120" w:type="dxa"/>
            </w:tcMar>
            <w:hideMark/>
          </w:tcPr>
          <w:p w:rsidR="00FE6AB0" w:rsidRPr="00FE6AB0" w:rsidRDefault="00FE6AB0" w:rsidP="00071535">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Type of text:</w:t>
            </w:r>
          </w:p>
        </w:tc>
        <w:tc>
          <w:tcPr>
            <w:tcW w:w="0" w:type="auto"/>
            <w:tcBorders>
              <w:top w:val="nil"/>
              <w:left w:val="nil"/>
              <w:bottom w:val="nil"/>
              <w:right w:val="nil"/>
            </w:tcBorders>
            <w:tcMar>
              <w:top w:w="60" w:type="dxa"/>
              <w:left w:w="0" w:type="dxa"/>
              <w:bottom w:w="60" w:type="dxa"/>
              <w:right w:w="0" w:type="dxa"/>
            </w:tcMar>
            <w:hideMark/>
          </w:tcPr>
          <w:p w:rsidR="00FE6AB0" w:rsidRPr="00FE6AB0" w:rsidRDefault="00FE6AB0" w:rsidP="00071535">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Original single text</w:t>
            </w:r>
          </w:p>
        </w:tc>
      </w:tr>
      <w:tr w:rsidR="00FE6AB0" w:rsidRPr="00FE6AB0" w:rsidTr="00071535">
        <w:tc>
          <w:tcPr>
            <w:tcW w:w="1862" w:type="dxa"/>
            <w:tcBorders>
              <w:top w:val="nil"/>
              <w:left w:val="nil"/>
              <w:bottom w:val="nil"/>
              <w:right w:val="nil"/>
            </w:tcBorders>
            <w:noWrap/>
            <w:tcMar>
              <w:top w:w="60" w:type="dxa"/>
              <w:left w:w="0" w:type="dxa"/>
              <w:bottom w:w="60" w:type="dxa"/>
              <w:right w:w="120" w:type="dxa"/>
            </w:tcMar>
            <w:hideMark/>
          </w:tcPr>
          <w:p w:rsidR="00FE6AB0" w:rsidRPr="00FE6AB0" w:rsidRDefault="00FE6AB0" w:rsidP="00071535">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In force from:</w:t>
            </w:r>
          </w:p>
        </w:tc>
        <w:tc>
          <w:tcPr>
            <w:tcW w:w="0" w:type="auto"/>
            <w:tcBorders>
              <w:top w:val="nil"/>
              <w:left w:val="nil"/>
              <w:bottom w:val="nil"/>
              <w:right w:val="nil"/>
            </w:tcBorders>
            <w:tcMar>
              <w:top w:w="60" w:type="dxa"/>
              <w:left w:w="0" w:type="dxa"/>
              <w:bottom w:w="60" w:type="dxa"/>
              <w:right w:w="0" w:type="dxa"/>
            </w:tcMar>
            <w:hideMark/>
          </w:tcPr>
          <w:p w:rsidR="00FE6AB0" w:rsidRPr="00FE6AB0" w:rsidRDefault="00FE6AB0" w:rsidP="00071535">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15 March 2019</w:t>
            </w:r>
          </w:p>
        </w:tc>
      </w:tr>
      <w:tr w:rsidR="00FE6AB0" w:rsidRPr="00FE6AB0" w:rsidTr="00071535">
        <w:tc>
          <w:tcPr>
            <w:tcW w:w="1862" w:type="dxa"/>
            <w:tcBorders>
              <w:top w:val="nil"/>
              <w:left w:val="nil"/>
              <w:bottom w:val="nil"/>
              <w:right w:val="nil"/>
            </w:tcBorders>
            <w:noWrap/>
            <w:tcMar>
              <w:top w:w="60" w:type="dxa"/>
              <w:left w:w="0" w:type="dxa"/>
              <w:bottom w:w="60" w:type="dxa"/>
              <w:right w:w="120" w:type="dxa"/>
            </w:tcMar>
            <w:hideMark/>
          </w:tcPr>
          <w:p w:rsidR="00FE6AB0" w:rsidRPr="00FE6AB0" w:rsidRDefault="00FE6AB0" w:rsidP="00071535">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In force until:</w:t>
            </w:r>
          </w:p>
        </w:tc>
        <w:tc>
          <w:tcPr>
            <w:tcW w:w="0" w:type="auto"/>
            <w:tcBorders>
              <w:top w:val="nil"/>
              <w:left w:val="nil"/>
              <w:bottom w:val="nil"/>
              <w:right w:val="nil"/>
            </w:tcBorders>
            <w:tcMar>
              <w:top w:w="60" w:type="dxa"/>
              <w:left w:w="0" w:type="dxa"/>
              <w:bottom w:w="60" w:type="dxa"/>
              <w:right w:w="0" w:type="dxa"/>
            </w:tcMar>
            <w:hideMark/>
          </w:tcPr>
          <w:p w:rsidR="00FE6AB0" w:rsidRPr="00FE6AB0" w:rsidRDefault="00FE6AB0" w:rsidP="00071535">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In force</w:t>
            </w:r>
          </w:p>
        </w:tc>
      </w:tr>
      <w:tr w:rsidR="00FE6AB0" w:rsidRPr="00FE6AB0" w:rsidTr="00071535">
        <w:tc>
          <w:tcPr>
            <w:tcW w:w="1862" w:type="dxa"/>
            <w:tcBorders>
              <w:top w:val="nil"/>
              <w:left w:val="nil"/>
              <w:bottom w:val="nil"/>
              <w:right w:val="nil"/>
            </w:tcBorders>
            <w:noWrap/>
            <w:tcMar>
              <w:top w:w="60" w:type="dxa"/>
              <w:left w:w="0" w:type="dxa"/>
              <w:bottom w:w="60" w:type="dxa"/>
              <w:right w:w="120" w:type="dxa"/>
            </w:tcMar>
            <w:hideMark/>
          </w:tcPr>
          <w:p w:rsidR="00FE6AB0" w:rsidRPr="00FE6AB0" w:rsidRDefault="00FE6AB0" w:rsidP="00071535">
            <w:pPr>
              <w:spacing w:after="0" w:line="240" w:lineRule="auto"/>
              <w:rPr>
                <w:rFonts w:ascii="Arial" w:eastAsia="Times New Roman" w:hAnsi="Arial" w:cs="Arial"/>
                <w:color w:val="606060"/>
                <w:sz w:val="18"/>
                <w:szCs w:val="18"/>
              </w:rPr>
            </w:pPr>
            <w:r>
              <w:rPr>
                <w:rFonts w:ascii="Arial" w:eastAsia="Times New Roman" w:hAnsi="Arial" w:cs="Arial"/>
                <w:color w:val="606060"/>
                <w:sz w:val="18"/>
                <w:szCs w:val="18"/>
                <w:lang w:val="en-GB"/>
              </w:rPr>
              <w:t>Publication reference:</w:t>
            </w:r>
          </w:p>
        </w:tc>
        <w:tc>
          <w:tcPr>
            <w:tcW w:w="0" w:type="auto"/>
            <w:tcBorders>
              <w:top w:val="nil"/>
              <w:left w:val="nil"/>
              <w:bottom w:val="nil"/>
              <w:right w:val="nil"/>
            </w:tcBorders>
            <w:tcMar>
              <w:top w:w="60" w:type="dxa"/>
              <w:left w:w="0" w:type="dxa"/>
              <w:bottom w:w="60" w:type="dxa"/>
              <w:right w:w="0" w:type="dxa"/>
            </w:tcMar>
            <w:hideMark/>
          </w:tcPr>
          <w:p w:rsidR="00FE6AB0" w:rsidRPr="00FE6AB0" w:rsidRDefault="00FE6AB0" w:rsidP="00071535">
            <w:pPr>
              <w:spacing w:after="0" w:line="240" w:lineRule="auto"/>
              <w:rPr>
                <w:rFonts w:ascii="Arial" w:eastAsia="Times New Roman" w:hAnsi="Arial" w:cs="Arial"/>
                <w:color w:val="202020"/>
                <w:sz w:val="18"/>
                <w:szCs w:val="18"/>
              </w:rPr>
            </w:pPr>
            <w:r>
              <w:rPr>
                <w:rFonts w:ascii="Arial" w:eastAsia="Times New Roman" w:hAnsi="Arial" w:cs="Arial"/>
                <w:color w:val="202020"/>
                <w:sz w:val="18"/>
                <w:szCs w:val="18"/>
                <w:lang w:val="en-GB"/>
              </w:rPr>
              <w:t>RT I, 12.03.2019, 27</w:t>
            </w:r>
          </w:p>
        </w:tc>
      </w:tr>
      <w:tr w:rsidR="00071535" w:rsidRPr="00FE6AB0" w:rsidTr="00071535">
        <w:tc>
          <w:tcPr>
            <w:tcW w:w="1862" w:type="dxa"/>
            <w:tcBorders>
              <w:top w:val="nil"/>
              <w:left w:val="nil"/>
              <w:bottom w:val="nil"/>
              <w:right w:val="nil"/>
            </w:tcBorders>
            <w:noWrap/>
            <w:tcMar>
              <w:top w:w="60" w:type="dxa"/>
              <w:left w:w="0" w:type="dxa"/>
              <w:bottom w:w="60" w:type="dxa"/>
              <w:right w:w="120" w:type="dxa"/>
            </w:tcMar>
          </w:tcPr>
          <w:p w:rsidR="00071535" w:rsidRDefault="00071535" w:rsidP="00071535">
            <w:pPr>
              <w:spacing w:after="0" w:line="240" w:lineRule="auto"/>
              <w:rPr>
                <w:rFonts w:ascii="Arial" w:eastAsia="Times New Roman" w:hAnsi="Arial" w:cs="Arial"/>
                <w:color w:val="606060"/>
                <w:sz w:val="18"/>
                <w:szCs w:val="18"/>
                <w:lang w:val="en-GB"/>
              </w:rPr>
            </w:pPr>
          </w:p>
        </w:tc>
        <w:tc>
          <w:tcPr>
            <w:tcW w:w="0" w:type="auto"/>
            <w:tcBorders>
              <w:top w:val="nil"/>
              <w:left w:val="nil"/>
              <w:bottom w:val="nil"/>
              <w:right w:val="nil"/>
            </w:tcBorders>
            <w:tcMar>
              <w:top w:w="60" w:type="dxa"/>
              <w:left w:w="0" w:type="dxa"/>
              <w:bottom w:w="60" w:type="dxa"/>
              <w:right w:w="0" w:type="dxa"/>
            </w:tcMar>
          </w:tcPr>
          <w:p w:rsidR="00071535" w:rsidRDefault="00071535" w:rsidP="00071535">
            <w:pPr>
              <w:spacing w:after="0" w:line="240" w:lineRule="auto"/>
              <w:rPr>
                <w:rFonts w:ascii="Arial" w:eastAsia="Times New Roman" w:hAnsi="Arial" w:cs="Arial"/>
                <w:color w:val="202020"/>
                <w:sz w:val="18"/>
                <w:szCs w:val="18"/>
                <w:lang w:val="en-GB"/>
              </w:rPr>
            </w:pPr>
          </w:p>
        </w:tc>
      </w:tr>
    </w:tbl>
    <w:p w:rsidR="009967F8" w:rsidRDefault="00045525" w:rsidP="006F099F">
      <w:pPr>
        <w:shd w:val="clear" w:color="auto" w:fill="FFFFFF"/>
        <w:spacing w:after="0" w:line="240" w:lineRule="auto"/>
        <w:rPr>
          <w:rFonts w:ascii="Tahoma" w:eastAsia="Times New Roman" w:hAnsi="Tahoma" w:cs="Tahoma"/>
          <w:b/>
          <w:bCs/>
          <w:color w:val="202020"/>
          <w:sz w:val="18"/>
          <w:szCs w:val="18"/>
        </w:rPr>
      </w:pPr>
      <w:hyperlink r:id="rId7" w:history="1">
        <w:r w:rsidR="00FE6AB0">
          <w:rPr>
            <w:rFonts w:ascii="Tahoma" w:eastAsia="Times New Roman" w:hAnsi="Tahoma" w:cs="Tahoma"/>
            <w:b/>
            <w:bCs/>
            <w:color w:val="0061AA"/>
            <w:sz w:val="17"/>
            <w:szCs w:val="17"/>
            <w:u w:val="single"/>
            <w:bdr w:val="none" w:sz="0" w:space="0" w:color="auto" w:frame="1"/>
            <w:lang w:val="en-GB"/>
          </w:rPr>
          <w:t>See the digital seal</w:t>
        </w:r>
      </w:hyperlink>
    </w:p>
    <w:p w:rsidR="006F099F" w:rsidRDefault="006F099F" w:rsidP="006F099F">
      <w:pPr>
        <w:shd w:val="clear" w:color="auto" w:fill="FFFFFF"/>
        <w:spacing w:after="0" w:line="240" w:lineRule="auto"/>
        <w:rPr>
          <w:rFonts w:ascii="Tahoma" w:eastAsia="Times New Roman" w:hAnsi="Tahoma" w:cs="Tahoma"/>
          <w:b/>
          <w:bCs/>
          <w:color w:val="202020"/>
          <w:sz w:val="18"/>
          <w:szCs w:val="18"/>
        </w:rPr>
      </w:pPr>
    </w:p>
    <w:p w:rsidR="006F099F" w:rsidRDefault="006F099F" w:rsidP="006F099F">
      <w:pPr>
        <w:shd w:val="clear" w:color="auto" w:fill="FFFFFF"/>
        <w:spacing w:after="0" w:line="240" w:lineRule="auto"/>
        <w:rPr>
          <w:rFonts w:ascii="Tahoma" w:eastAsia="Times New Roman" w:hAnsi="Tahoma" w:cs="Tahoma"/>
          <w:b/>
          <w:bCs/>
          <w:color w:val="202020"/>
          <w:sz w:val="18"/>
          <w:szCs w:val="18"/>
        </w:rPr>
      </w:pPr>
    </w:p>
    <w:p w:rsidR="00045525" w:rsidRPr="006F099F" w:rsidRDefault="00045525" w:rsidP="006F099F">
      <w:pPr>
        <w:shd w:val="clear" w:color="auto" w:fill="FFFFFF"/>
        <w:spacing w:after="0" w:line="240" w:lineRule="auto"/>
        <w:rPr>
          <w:rFonts w:ascii="Tahoma" w:eastAsia="Times New Roman" w:hAnsi="Tahoma" w:cs="Tahoma"/>
          <w:b/>
          <w:bCs/>
          <w:color w:val="202020"/>
          <w:sz w:val="18"/>
          <w:szCs w:val="18"/>
        </w:rPr>
      </w:pPr>
    </w:p>
    <w:p w:rsidR="00FE6AB0" w:rsidRPr="00FE6AB0" w:rsidRDefault="00FE6AB0" w:rsidP="00FE6AB0">
      <w:pPr>
        <w:shd w:val="clear" w:color="auto" w:fill="FFFFFF"/>
        <w:spacing w:after="240" w:line="240" w:lineRule="auto"/>
        <w:jc w:val="center"/>
        <w:outlineLvl w:val="0"/>
        <w:rPr>
          <w:rFonts w:ascii="Arial" w:eastAsia="Times New Roman" w:hAnsi="Arial" w:cs="Arial"/>
          <w:b/>
          <w:bCs/>
          <w:color w:val="000000"/>
          <w:kern w:val="36"/>
          <w:sz w:val="30"/>
          <w:szCs w:val="30"/>
        </w:rPr>
      </w:pPr>
      <w:r>
        <w:rPr>
          <w:rFonts w:ascii="Arial" w:eastAsia="Times New Roman" w:hAnsi="Arial" w:cs="Arial"/>
          <w:b/>
          <w:bCs/>
          <w:color w:val="000000"/>
          <w:kern w:val="36"/>
          <w:sz w:val="30"/>
          <w:szCs w:val="30"/>
          <w:lang w:val="en-GB"/>
        </w:rPr>
        <w:t>Requirements for processor of Gene Bank</w:t>
      </w:r>
    </w:p>
    <w:p w:rsidR="00071535" w:rsidRPr="00071535" w:rsidRDefault="00FE6AB0" w:rsidP="00071535">
      <w:pPr>
        <w:shd w:val="clear" w:color="auto" w:fill="FFFFFF"/>
        <w:spacing w:before="120" w:after="0" w:line="240" w:lineRule="auto"/>
        <w:jc w:val="center"/>
        <w:rPr>
          <w:rFonts w:ascii="Arial" w:eastAsia="Times New Roman" w:hAnsi="Arial" w:cs="Arial"/>
          <w:color w:val="202020"/>
          <w:sz w:val="21"/>
          <w:szCs w:val="21"/>
          <w:lang w:val="en-GB"/>
        </w:rPr>
      </w:pPr>
      <w:r>
        <w:rPr>
          <w:rFonts w:ascii="Arial" w:eastAsia="Times New Roman" w:hAnsi="Arial" w:cs="Arial"/>
          <w:color w:val="202020"/>
          <w:sz w:val="21"/>
          <w:szCs w:val="21"/>
          <w:lang w:val="en-GB"/>
        </w:rPr>
        <w:t>Adopted on 8 March 2019, No. 22</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r>
        <w:rPr>
          <w:rFonts w:ascii="Arial" w:eastAsia="Times New Roman" w:hAnsi="Arial" w:cs="Arial"/>
          <w:color w:val="202020"/>
          <w:sz w:val="21"/>
          <w:szCs w:val="21"/>
          <w:lang w:val="en-GB"/>
        </w:rPr>
        <w:t>The regulation is established on the basis of section 5 of the </w:t>
      </w:r>
      <w:hyperlink r:id="rId8" w:history="1">
        <w:r>
          <w:rPr>
            <w:rFonts w:ascii="Arial" w:eastAsia="Times New Roman" w:hAnsi="Arial" w:cs="Arial"/>
            <w:color w:val="551A8B"/>
            <w:sz w:val="21"/>
            <w:szCs w:val="21"/>
            <w:u w:val="single"/>
            <w:bdr w:val="none" w:sz="0" w:space="0" w:color="auto" w:frame="1"/>
            <w:lang w:val="en-GB"/>
          </w:rPr>
          <w:t>Human Genes Research Act</w:t>
        </w:r>
      </w:hyperlink>
      <w:r>
        <w:rPr>
          <w:rFonts w:ascii="Arial" w:eastAsia="Times New Roman" w:hAnsi="Arial" w:cs="Arial"/>
          <w:color w:val="202020"/>
          <w:sz w:val="21"/>
          <w:szCs w:val="21"/>
          <w:lang w:val="en-GB"/>
        </w:rPr>
        <w:t>.</w:t>
      </w:r>
    </w:p>
    <w:p w:rsidR="00071535" w:rsidRDefault="00071535" w:rsidP="00FE6AB0">
      <w:pPr>
        <w:shd w:val="clear" w:color="auto" w:fill="FFFFFF"/>
        <w:spacing w:after="0" w:line="240" w:lineRule="auto"/>
        <w:outlineLvl w:val="2"/>
        <w:rPr>
          <w:rFonts w:ascii="Arial" w:eastAsia="Times New Roman" w:hAnsi="Arial" w:cs="Arial"/>
          <w:b/>
          <w:bCs/>
          <w:color w:val="000000"/>
          <w:sz w:val="21"/>
          <w:szCs w:val="21"/>
          <w:bdr w:val="none" w:sz="0" w:space="0" w:color="auto" w:frame="1"/>
          <w:lang w:val="en-GB"/>
        </w:rPr>
      </w:pPr>
      <w:bookmarkStart w:id="0" w:name="_GoBack"/>
      <w:bookmarkEnd w:id="0"/>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1.</w:t>
      </w:r>
      <w:bookmarkStart w:id="1" w:name="para1"/>
      <w:r>
        <w:rPr>
          <w:rFonts w:ascii="Arial" w:eastAsia="Times New Roman" w:hAnsi="Arial" w:cs="Arial"/>
          <w:b/>
          <w:bCs/>
          <w:color w:val="0061AA"/>
          <w:sz w:val="21"/>
          <w:szCs w:val="21"/>
          <w:bdr w:val="none" w:sz="0" w:space="0" w:color="auto" w:frame="1"/>
          <w:lang w:val="en-GB"/>
        </w:rPr>
        <w:t> </w:t>
      </w:r>
      <w:bookmarkEnd w:id="1"/>
      <w:r>
        <w:rPr>
          <w:rFonts w:ascii="Arial" w:eastAsia="Times New Roman" w:hAnsi="Arial" w:cs="Arial"/>
          <w:b/>
          <w:bCs/>
          <w:color w:val="000000"/>
          <w:sz w:val="21"/>
          <w:szCs w:val="21"/>
          <w:lang w:val="en-GB"/>
        </w:rPr>
        <w:t>Scope of application</w:t>
      </w:r>
    </w:p>
    <w:p w:rsidR="00071535" w:rsidRPr="006F099F" w:rsidRDefault="00FE6AB0" w:rsidP="00FE6AB0">
      <w:pPr>
        <w:shd w:val="clear" w:color="auto" w:fill="FFFFFF"/>
        <w:spacing w:after="0" w:line="240" w:lineRule="auto"/>
        <w:rPr>
          <w:rFonts w:ascii="Arial" w:eastAsia="Times New Roman" w:hAnsi="Arial" w:cs="Arial"/>
          <w:color w:val="202020"/>
          <w:sz w:val="21"/>
          <w:szCs w:val="21"/>
          <w:lang w:val="en-GB"/>
        </w:rPr>
      </w:pPr>
      <w:bookmarkStart w:id="2" w:name="para1lg1"/>
      <w:r>
        <w:rPr>
          <w:rFonts w:ascii="Arial" w:eastAsia="Times New Roman" w:hAnsi="Arial" w:cs="Arial"/>
          <w:color w:val="0061AA"/>
          <w:sz w:val="21"/>
          <w:szCs w:val="21"/>
          <w:bdr w:val="none" w:sz="0" w:space="0" w:color="auto" w:frame="1"/>
          <w:lang w:val="en-GB"/>
        </w:rPr>
        <w:t> </w:t>
      </w:r>
      <w:bookmarkEnd w:id="2"/>
      <w:r>
        <w:rPr>
          <w:rFonts w:ascii="Arial" w:eastAsia="Times New Roman" w:hAnsi="Arial" w:cs="Arial"/>
          <w:color w:val="202020"/>
          <w:sz w:val="21"/>
          <w:szCs w:val="21"/>
          <w:lang w:val="en-GB"/>
        </w:rPr>
        <w:t> The regulation establishes the requirements for natural or legal persons and the Estonian state or local government authorities who wish to obtain the right to process the Gene Bank from the controller of the Gene Bank.</w:t>
      </w:r>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2.</w:t>
      </w:r>
      <w:bookmarkStart w:id="3" w:name="para2"/>
      <w:r>
        <w:rPr>
          <w:rFonts w:ascii="Arial" w:eastAsia="Times New Roman" w:hAnsi="Arial" w:cs="Arial"/>
          <w:b/>
          <w:bCs/>
          <w:color w:val="0061AA"/>
          <w:sz w:val="21"/>
          <w:szCs w:val="21"/>
          <w:bdr w:val="none" w:sz="0" w:space="0" w:color="auto" w:frame="1"/>
          <w:lang w:val="en-GB"/>
        </w:rPr>
        <w:t> </w:t>
      </w:r>
      <w:bookmarkEnd w:id="3"/>
      <w:r>
        <w:rPr>
          <w:rFonts w:ascii="Arial" w:eastAsia="Times New Roman" w:hAnsi="Arial" w:cs="Arial"/>
          <w:b/>
          <w:bCs/>
          <w:color w:val="000000"/>
          <w:sz w:val="21"/>
          <w:szCs w:val="21"/>
          <w:lang w:val="en-GB"/>
        </w:rPr>
        <w:t>General requirement</w:t>
      </w:r>
    </w:p>
    <w:p w:rsidR="00071535" w:rsidRPr="006F099F" w:rsidRDefault="00FE6AB0" w:rsidP="00FE6AB0">
      <w:pPr>
        <w:shd w:val="clear" w:color="auto" w:fill="FFFFFF"/>
        <w:spacing w:after="0" w:line="240" w:lineRule="auto"/>
        <w:rPr>
          <w:rFonts w:ascii="Arial" w:eastAsia="Times New Roman" w:hAnsi="Arial" w:cs="Arial"/>
          <w:color w:val="202020"/>
          <w:sz w:val="21"/>
          <w:szCs w:val="21"/>
          <w:lang w:val="en-GB"/>
        </w:rPr>
      </w:pPr>
      <w:bookmarkStart w:id="4" w:name="para2lg1"/>
      <w:r>
        <w:rPr>
          <w:rFonts w:ascii="Arial" w:eastAsia="Times New Roman" w:hAnsi="Arial" w:cs="Arial"/>
          <w:color w:val="0061AA"/>
          <w:sz w:val="21"/>
          <w:szCs w:val="21"/>
          <w:bdr w:val="none" w:sz="0" w:space="0" w:color="auto" w:frame="1"/>
          <w:lang w:val="en-GB"/>
        </w:rPr>
        <w:t> </w:t>
      </w:r>
      <w:bookmarkEnd w:id="4"/>
      <w:r>
        <w:rPr>
          <w:rFonts w:ascii="Arial" w:eastAsia="Times New Roman" w:hAnsi="Arial" w:cs="Arial"/>
          <w:color w:val="202020"/>
          <w:sz w:val="21"/>
          <w:szCs w:val="21"/>
          <w:lang w:val="en-GB"/>
        </w:rPr>
        <w:t> A prospective processor must be able to fulfil the agreement concluded with the controller of the Gene Bank, comply with the laws and regulations on the processing of the Gene Bank and ensure the protection of the personal data and rights of the gene donors.</w:t>
      </w:r>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3.</w:t>
      </w:r>
      <w:bookmarkStart w:id="5" w:name="para3"/>
      <w:r>
        <w:rPr>
          <w:rFonts w:ascii="Arial" w:eastAsia="Times New Roman" w:hAnsi="Arial" w:cs="Arial"/>
          <w:b/>
          <w:bCs/>
          <w:color w:val="0061AA"/>
          <w:sz w:val="21"/>
          <w:szCs w:val="21"/>
          <w:bdr w:val="none" w:sz="0" w:space="0" w:color="auto" w:frame="1"/>
          <w:lang w:val="en-GB"/>
        </w:rPr>
        <w:t> </w:t>
      </w:r>
      <w:bookmarkEnd w:id="5"/>
      <w:r>
        <w:rPr>
          <w:rFonts w:ascii="Arial" w:eastAsia="Times New Roman" w:hAnsi="Arial" w:cs="Arial"/>
          <w:b/>
          <w:bCs/>
          <w:color w:val="000000"/>
          <w:sz w:val="21"/>
          <w:szCs w:val="21"/>
          <w:lang w:val="en-GB"/>
        </w:rPr>
        <w:t>Requirements for processors</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6" w:name="para3lg1"/>
      <w:r>
        <w:rPr>
          <w:rFonts w:ascii="Arial" w:eastAsia="Times New Roman" w:hAnsi="Arial" w:cs="Arial"/>
          <w:color w:val="0061AA"/>
          <w:sz w:val="21"/>
          <w:szCs w:val="21"/>
          <w:bdr w:val="none" w:sz="0" w:space="0" w:color="auto" w:frame="1"/>
          <w:lang w:val="en-GB"/>
        </w:rPr>
        <w:t> </w:t>
      </w:r>
      <w:bookmarkEnd w:id="6"/>
      <w:r>
        <w:rPr>
          <w:rFonts w:ascii="Arial" w:eastAsia="Times New Roman" w:hAnsi="Arial" w:cs="Arial"/>
          <w:color w:val="202020"/>
          <w:sz w:val="21"/>
          <w:szCs w:val="21"/>
          <w:lang w:val="en-GB"/>
        </w:rPr>
        <w:t>(1) A processor must have the necessary knowledge, sufficient experience and financial resources for processing the Gene Bank.</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7" w:name="para3lg2"/>
      <w:r>
        <w:rPr>
          <w:rFonts w:ascii="Arial" w:eastAsia="Times New Roman" w:hAnsi="Arial" w:cs="Arial"/>
          <w:color w:val="0061AA"/>
          <w:sz w:val="21"/>
          <w:szCs w:val="21"/>
          <w:bdr w:val="none" w:sz="0" w:space="0" w:color="auto" w:frame="1"/>
          <w:lang w:val="en-GB"/>
        </w:rPr>
        <w:t> </w:t>
      </w:r>
      <w:bookmarkEnd w:id="7"/>
      <w:r>
        <w:rPr>
          <w:rFonts w:ascii="Arial" w:eastAsia="Times New Roman" w:hAnsi="Arial" w:cs="Arial"/>
          <w:color w:val="202020"/>
          <w:sz w:val="21"/>
          <w:szCs w:val="21"/>
          <w:lang w:val="en-GB"/>
        </w:rPr>
        <w:t>(2) A processor must have a thorough knowledge of the Human Genes Research Act and the legislation enacted on the basis thereof as well as other legislation, good scientific practice and ethical standards regulating the maintenance of the Gene Bank and compliance with its obligations.</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8" w:name="para3lg3"/>
      <w:r>
        <w:rPr>
          <w:rFonts w:ascii="Arial" w:eastAsia="Times New Roman" w:hAnsi="Arial" w:cs="Arial"/>
          <w:color w:val="0061AA"/>
          <w:sz w:val="21"/>
          <w:szCs w:val="21"/>
          <w:bdr w:val="none" w:sz="0" w:space="0" w:color="auto" w:frame="1"/>
          <w:lang w:val="en-GB"/>
        </w:rPr>
        <w:t> </w:t>
      </w:r>
      <w:bookmarkEnd w:id="8"/>
      <w:r>
        <w:rPr>
          <w:rFonts w:ascii="Arial" w:eastAsia="Times New Roman" w:hAnsi="Arial" w:cs="Arial"/>
          <w:color w:val="202020"/>
          <w:sz w:val="21"/>
          <w:szCs w:val="21"/>
          <w:lang w:val="en-GB"/>
        </w:rPr>
        <w:t>(3) In order to process the Gene Bank, the processor must have the following at their disposal:</w:t>
      </w:r>
      <w:r>
        <w:rPr>
          <w:rFonts w:ascii="Arial" w:eastAsia="Times New Roman" w:hAnsi="Arial" w:cs="Arial"/>
          <w:color w:val="202020"/>
          <w:sz w:val="21"/>
          <w:szCs w:val="21"/>
          <w:lang w:val="en-GB"/>
        </w:rPr>
        <w:br/>
      </w:r>
      <w:bookmarkStart w:id="9" w:name="para3lg3p1"/>
      <w:r>
        <w:rPr>
          <w:rFonts w:ascii="Arial" w:eastAsia="Times New Roman" w:hAnsi="Arial" w:cs="Arial"/>
          <w:color w:val="0061AA"/>
          <w:sz w:val="21"/>
          <w:szCs w:val="21"/>
          <w:bdr w:val="none" w:sz="0" w:space="0" w:color="auto" w:frame="1"/>
          <w:lang w:val="en-GB"/>
        </w:rPr>
        <w:t> </w:t>
      </w:r>
      <w:bookmarkEnd w:id="9"/>
      <w:r>
        <w:rPr>
          <w:rFonts w:ascii="Arial" w:eastAsia="Times New Roman" w:hAnsi="Arial" w:cs="Arial"/>
          <w:color w:val="202020"/>
          <w:sz w:val="21"/>
          <w:szCs w:val="21"/>
          <w:lang w:val="en-GB"/>
        </w:rPr>
        <w:t>1)</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appropriately qualified and trained personnel</w:t>
      </w:r>
      <w:r>
        <w:rPr>
          <w:rFonts w:ascii="Arial" w:eastAsia="Times New Roman" w:hAnsi="Arial" w:cs="Arial"/>
          <w:color w:val="202020"/>
          <w:sz w:val="21"/>
          <w:szCs w:val="21"/>
          <w:lang w:val="en-GB"/>
        </w:rPr>
        <w:br/>
      </w:r>
      <w:bookmarkStart w:id="10" w:name="para3lg3p2"/>
      <w:r>
        <w:rPr>
          <w:rFonts w:ascii="Arial" w:eastAsia="Times New Roman" w:hAnsi="Arial" w:cs="Arial"/>
          <w:color w:val="0061AA"/>
          <w:sz w:val="21"/>
          <w:szCs w:val="21"/>
          <w:bdr w:val="none" w:sz="0" w:space="0" w:color="auto" w:frame="1"/>
          <w:lang w:val="en-GB"/>
        </w:rPr>
        <w:t> </w:t>
      </w:r>
      <w:bookmarkEnd w:id="10"/>
      <w:r>
        <w:rPr>
          <w:rFonts w:ascii="Arial" w:eastAsia="Times New Roman" w:hAnsi="Arial" w:cs="Arial"/>
          <w:color w:val="202020"/>
          <w:sz w:val="21"/>
          <w:szCs w:val="21"/>
          <w:lang w:val="en-GB"/>
        </w:rPr>
        <w:t>2)</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appropriate and sufficiently large premises</w:t>
      </w:r>
      <w:r>
        <w:rPr>
          <w:rFonts w:ascii="Arial" w:eastAsia="Times New Roman" w:hAnsi="Arial" w:cs="Arial"/>
          <w:color w:val="202020"/>
          <w:sz w:val="21"/>
          <w:szCs w:val="21"/>
          <w:lang w:val="en-GB"/>
        </w:rPr>
        <w:br/>
      </w:r>
      <w:bookmarkStart w:id="11" w:name="para3lg3p3"/>
      <w:r>
        <w:rPr>
          <w:rFonts w:ascii="Arial" w:eastAsia="Times New Roman" w:hAnsi="Arial" w:cs="Arial"/>
          <w:color w:val="0061AA"/>
          <w:sz w:val="21"/>
          <w:szCs w:val="21"/>
          <w:bdr w:val="none" w:sz="0" w:space="0" w:color="auto" w:frame="1"/>
          <w:lang w:val="en-GB"/>
        </w:rPr>
        <w:t> </w:t>
      </w:r>
      <w:bookmarkEnd w:id="11"/>
      <w:r>
        <w:rPr>
          <w:rFonts w:ascii="Arial" w:eastAsia="Times New Roman" w:hAnsi="Arial" w:cs="Arial"/>
          <w:color w:val="202020"/>
          <w:sz w:val="21"/>
          <w:szCs w:val="21"/>
          <w:lang w:val="en-GB"/>
        </w:rPr>
        <w:t>3)</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appropriate equipment, helpdesk and resources</w:t>
      </w:r>
      <w:r>
        <w:rPr>
          <w:rFonts w:ascii="Arial" w:eastAsia="Times New Roman" w:hAnsi="Arial" w:cs="Arial"/>
          <w:color w:val="202020"/>
          <w:sz w:val="21"/>
          <w:szCs w:val="21"/>
          <w:lang w:val="en-GB"/>
        </w:rPr>
        <w:br/>
      </w:r>
      <w:bookmarkStart w:id="12" w:name="para3lg3p4"/>
      <w:r>
        <w:rPr>
          <w:rFonts w:ascii="Arial" w:eastAsia="Times New Roman" w:hAnsi="Arial" w:cs="Arial"/>
          <w:color w:val="0061AA"/>
          <w:sz w:val="21"/>
          <w:szCs w:val="21"/>
          <w:bdr w:val="none" w:sz="0" w:space="0" w:color="auto" w:frame="1"/>
          <w:lang w:val="en-GB"/>
        </w:rPr>
        <w:t> </w:t>
      </w:r>
      <w:bookmarkEnd w:id="12"/>
      <w:r>
        <w:rPr>
          <w:rFonts w:ascii="Arial" w:eastAsia="Times New Roman" w:hAnsi="Arial" w:cs="Arial"/>
          <w:color w:val="202020"/>
          <w:sz w:val="21"/>
          <w:szCs w:val="21"/>
          <w:lang w:val="en-GB"/>
        </w:rPr>
        <w:t>4)</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necessary materials, packaging and labels</w:t>
      </w:r>
      <w:r>
        <w:rPr>
          <w:rFonts w:ascii="Arial" w:eastAsia="Times New Roman" w:hAnsi="Arial" w:cs="Arial"/>
          <w:color w:val="202020"/>
          <w:sz w:val="21"/>
          <w:szCs w:val="21"/>
          <w:lang w:val="en-GB"/>
        </w:rPr>
        <w:br/>
      </w:r>
      <w:bookmarkStart w:id="13" w:name="para3lg3p5"/>
      <w:r>
        <w:rPr>
          <w:rFonts w:ascii="Arial" w:eastAsia="Times New Roman" w:hAnsi="Arial" w:cs="Arial"/>
          <w:color w:val="0061AA"/>
          <w:sz w:val="21"/>
          <w:szCs w:val="21"/>
          <w:bdr w:val="none" w:sz="0" w:space="0" w:color="auto" w:frame="1"/>
          <w:lang w:val="en-GB"/>
        </w:rPr>
        <w:t> </w:t>
      </w:r>
      <w:bookmarkEnd w:id="13"/>
      <w:r>
        <w:rPr>
          <w:rFonts w:ascii="Arial" w:eastAsia="Times New Roman" w:hAnsi="Arial" w:cs="Arial"/>
          <w:color w:val="202020"/>
          <w:sz w:val="21"/>
          <w:szCs w:val="21"/>
          <w:lang w:val="en-GB"/>
        </w:rPr>
        <w:t>5)</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SOPs and work regulations approved by the management board of the controller</w:t>
      </w:r>
      <w:r>
        <w:rPr>
          <w:rFonts w:ascii="Arial" w:eastAsia="Times New Roman" w:hAnsi="Arial" w:cs="Arial"/>
          <w:color w:val="202020"/>
          <w:sz w:val="21"/>
          <w:szCs w:val="21"/>
          <w:lang w:val="en-GB"/>
        </w:rPr>
        <w:br/>
      </w:r>
      <w:bookmarkStart w:id="14" w:name="para3lg3p6"/>
      <w:r>
        <w:rPr>
          <w:rFonts w:ascii="Arial" w:eastAsia="Times New Roman" w:hAnsi="Arial" w:cs="Arial"/>
          <w:color w:val="0061AA"/>
          <w:sz w:val="21"/>
          <w:szCs w:val="21"/>
          <w:bdr w:val="none" w:sz="0" w:space="0" w:color="auto" w:frame="1"/>
          <w:lang w:val="en-GB"/>
        </w:rPr>
        <w:t> </w:t>
      </w:r>
      <w:bookmarkEnd w:id="14"/>
      <w:r>
        <w:rPr>
          <w:rFonts w:ascii="Arial" w:eastAsia="Times New Roman" w:hAnsi="Arial" w:cs="Arial"/>
          <w:color w:val="202020"/>
          <w:sz w:val="21"/>
          <w:szCs w:val="21"/>
          <w:lang w:val="en-GB"/>
        </w:rPr>
        <w:t>6)</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appropriate conditions for storage and transport</w:t>
      </w:r>
      <w:r>
        <w:rPr>
          <w:rFonts w:ascii="Arial" w:eastAsia="Times New Roman" w:hAnsi="Arial" w:cs="Arial"/>
          <w:color w:val="202020"/>
          <w:sz w:val="21"/>
          <w:szCs w:val="21"/>
          <w:lang w:val="en-GB"/>
        </w:rPr>
        <w:br/>
      </w:r>
      <w:bookmarkStart w:id="15" w:name="para3lg3p7"/>
      <w:r>
        <w:rPr>
          <w:rFonts w:ascii="Arial" w:eastAsia="Times New Roman" w:hAnsi="Arial" w:cs="Arial"/>
          <w:color w:val="0061AA"/>
          <w:sz w:val="21"/>
          <w:szCs w:val="21"/>
          <w:bdr w:val="none" w:sz="0" w:space="0" w:color="auto" w:frame="1"/>
          <w:lang w:val="en-GB"/>
        </w:rPr>
        <w:t> </w:t>
      </w:r>
      <w:bookmarkEnd w:id="15"/>
      <w:r>
        <w:rPr>
          <w:rFonts w:ascii="Arial" w:eastAsia="Times New Roman" w:hAnsi="Arial" w:cs="Arial"/>
          <w:color w:val="202020"/>
          <w:sz w:val="21"/>
          <w:szCs w:val="21"/>
          <w:lang w:val="en-GB"/>
        </w:rPr>
        <w:t>7)</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required intellectual property rights</w:t>
      </w:r>
      <w:r>
        <w:rPr>
          <w:rFonts w:ascii="Arial" w:eastAsia="Times New Roman" w:hAnsi="Arial" w:cs="Arial"/>
          <w:color w:val="202020"/>
          <w:sz w:val="21"/>
          <w:szCs w:val="21"/>
          <w:lang w:val="en-GB"/>
        </w:rPr>
        <w:br/>
      </w:r>
      <w:bookmarkStart w:id="16" w:name="para3lg3p8"/>
      <w:r>
        <w:rPr>
          <w:rFonts w:ascii="Arial" w:eastAsia="Times New Roman" w:hAnsi="Arial" w:cs="Arial"/>
          <w:color w:val="0061AA"/>
          <w:sz w:val="21"/>
          <w:szCs w:val="21"/>
          <w:bdr w:val="none" w:sz="0" w:space="0" w:color="auto" w:frame="1"/>
          <w:lang w:val="en-GB"/>
        </w:rPr>
        <w:t> </w:t>
      </w:r>
      <w:bookmarkEnd w:id="16"/>
      <w:r>
        <w:rPr>
          <w:rFonts w:ascii="Arial" w:eastAsia="Times New Roman" w:hAnsi="Arial" w:cs="Arial"/>
          <w:color w:val="202020"/>
          <w:sz w:val="21"/>
          <w:szCs w:val="21"/>
          <w:lang w:val="en-GB"/>
        </w:rPr>
        <w:t>8)</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organisational and technical means, knowledge and experience necessary for ensuring that data protection requirements are met</w:t>
      </w:r>
    </w:p>
    <w:p w:rsidR="00071535" w:rsidRPr="006F099F" w:rsidRDefault="00FE6AB0" w:rsidP="00FE6AB0">
      <w:pPr>
        <w:shd w:val="clear" w:color="auto" w:fill="FFFFFF"/>
        <w:spacing w:after="0" w:line="240" w:lineRule="auto"/>
        <w:rPr>
          <w:rFonts w:ascii="Arial" w:eastAsia="Times New Roman" w:hAnsi="Arial" w:cs="Arial"/>
          <w:color w:val="202020"/>
          <w:sz w:val="21"/>
          <w:szCs w:val="21"/>
          <w:lang w:val="en-GB"/>
        </w:rPr>
      </w:pPr>
      <w:bookmarkStart w:id="17" w:name="para3lg4"/>
      <w:r>
        <w:rPr>
          <w:rFonts w:ascii="Arial" w:eastAsia="Times New Roman" w:hAnsi="Arial" w:cs="Arial"/>
          <w:color w:val="0061AA"/>
          <w:sz w:val="21"/>
          <w:szCs w:val="21"/>
          <w:bdr w:val="none" w:sz="0" w:space="0" w:color="auto" w:frame="1"/>
          <w:lang w:val="en-GB"/>
        </w:rPr>
        <w:t> </w:t>
      </w:r>
      <w:bookmarkEnd w:id="17"/>
      <w:r>
        <w:rPr>
          <w:rFonts w:ascii="Arial" w:eastAsia="Times New Roman" w:hAnsi="Arial" w:cs="Arial"/>
          <w:color w:val="202020"/>
          <w:sz w:val="21"/>
          <w:szCs w:val="21"/>
          <w:lang w:val="en-GB"/>
        </w:rPr>
        <w:t>(4) The processor must have performed any and all obligations arising from tax laws in a timely manner and no bankruptcy proceedings must have been initiated against them.</w:t>
      </w:r>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4.</w:t>
      </w:r>
      <w:bookmarkStart w:id="18" w:name="para4"/>
      <w:r>
        <w:rPr>
          <w:rFonts w:ascii="Arial" w:eastAsia="Times New Roman" w:hAnsi="Arial" w:cs="Arial"/>
          <w:b/>
          <w:bCs/>
          <w:color w:val="0061AA"/>
          <w:sz w:val="21"/>
          <w:szCs w:val="21"/>
          <w:bdr w:val="none" w:sz="0" w:space="0" w:color="auto" w:frame="1"/>
          <w:lang w:val="en-GB"/>
        </w:rPr>
        <w:t> </w:t>
      </w:r>
      <w:bookmarkEnd w:id="18"/>
      <w:r>
        <w:rPr>
          <w:rFonts w:ascii="Arial" w:eastAsia="Times New Roman" w:hAnsi="Arial" w:cs="Arial"/>
          <w:b/>
          <w:bCs/>
          <w:color w:val="000000"/>
          <w:sz w:val="21"/>
          <w:szCs w:val="21"/>
          <w:lang w:val="en-GB"/>
        </w:rPr>
        <w:t>Agreement to be concluded with the processor</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19" w:name="para4lg1"/>
      <w:r>
        <w:rPr>
          <w:rFonts w:ascii="Arial" w:eastAsia="Times New Roman" w:hAnsi="Arial" w:cs="Arial"/>
          <w:color w:val="0061AA"/>
          <w:sz w:val="21"/>
          <w:szCs w:val="21"/>
          <w:bdr w:val="none" w:sz="0" w:space="0" w:color="auto" w:frame="1"/>
          <w:lang w:val="en-GB"/>
        </w:rPr>
        <w:t> </w:t>
      </w:r>
      <w:bookmarkEnd w:id="19"/>
      <w:r>
        <w:rPr>
          <w:rFonts w:ascii="Arial" w:eastAsia="Times New Roman" w:hAnsi="Arial" w:cs="Arial"/>
          <w:color w:val="202020"/>
          <w:sz w:val="21"/>
          <w:szCs w:val="21"/>
          <w:lang w:val="en-GB"/>
        </w:rPr>
        <w:t>(1) The controller may conclude an agreement with a prospective processor who complies with the requirements stipulated in the Human Genes Research Act and this regulation.</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20" w:name="para4lg2"/>
      <w:r>
        <w:rPr>
          <w:rFonts w:ascii="Arial" w:eastAsia="Times New Roman" w:hAnsi="Arial" w:cs="Arial"/>
          <w:color w:val="0061AA"/>
          <w:sz w:val="21"/>
          <w:szCs w:val="21"/>
          <w:bdr w:val="none" w:sz="0" w:space="0" w:color="auto" w:frame="1"/>
          <w:lang w:val="en-GB"/>
        </w:rPr>
        <w:t> </w:t>
      </w:r>
      <w:bookmarkEnd w:id="20"/>
      <w:r>
        <w:rPr>
          <w:rFonts w:ascii="Arial" w:eastAsia="Times New Roman" w:hAnsi="Arial" w:cs="Arial"/>
          <w:color w:val="202020"/>
          <w:sz w:val="21"/>
          <w:szCs w:val="21"/>
          <w:lang w:val="en-GB"/>
        </w:rPr>
        <w:t>(2) The agreement specified in subsection 1 of this section establishes the conditions necessary for fulfilling the obligations of the controller of the Gene Bank, ensuring that the personal data and rights of gene donors are protected and complying with law.</w:t>
      </w:r>
    </w:p>
    <w:p w:rsidR="00071535" w:rsidRPr="006F099F" w:rsidRDefault="00FE6AB0" w:rsidP="00FE6AB0">
      <w:pPr>
        <w:shd w:val="clear" w:color="auto" w:fill="FFFFFF"/>
        <w:spacing w:after="0" w:line="240" w:lineRule="auto"/>
        <w:rPr>
          <w:rFonts w:ascii="Arial" w:eastAsia="Times New Roman" w:hAnsi="Arial" w:cs="Arial"/>
          <w:color w:val="202020"/>
          <w:sz w:val="21"/>
          <w:szCs w:val="21"/>
          <w:lang w:val="en-GB"/>
        </w:rPr>
      </w:pPr>
      <w:bookmarkStart w:id="21" w:name="para4lg3"/>
      <w:r>
        <w:rPr>
          <w:rFonts w:ascii="Arial" w:eastAsia="Times New Roman" w:hAnsi="Arial" w:cs="Arial"/>
          <w:color w:val="0061AA"/>
          <w:sz w:val="21"/>
          <w:szCs w:val="21"/>
          <w:bdr w:val="none" w:sz="0" w:space="0" w:color="auto" w:frame="1"/>
          <w:lang w:val="en-GB"/>
        </w:rPr>
        <w:t> </w:t>
      </w:r>
      <w:bookmarkEnd w:id="21"/>
      <w:r>
        <w:rPr>
          <w:rFonts w:ascii="Arial" w:eastAsia="Times New Roman" w:hAnsi="Arial" w:cs="Arial"/>
          <w:color w:val="202020"/>
          <w:sz w:val="21"/>
          <w:szCs w:val="21"/>
          <w:lang w:val="en-GB"/>
        </w:rPr>
        <w:t xml:space="preserve">(3) The agreement specified in subsection 1 of this section must contain, </w:t>
      </w:r>
      <w:r>
        <w:rPr>
          <w:rFonts w:ascii="Arial" w:eastAsia="Times New Roman" w:hAnsi="Arial" w:cs="Arial"/>
          <w:i/>
          <w:iCs/>
          <w:color w:val="202020"/>
          <w:sz w:val="21"/>
          <w:szCs w:val="21"/>
          <w:lang w:val="en-GB"/>
        </w:rPr>
        <w:t>inter alia</w:t>
      </w:r>
      <w:r>
        <w:rPr>
          <w:rFonts w:ascii="Arial" w:eastAsia="Times New Roman" w:hAnsi="Arial" w:cs="Arial"/>
          <w:color w:val="202020"/>
          <w:sz w:val="21"/>
          <w:szCs w:val="21"/>
          <w:lang w:val="en-GB"/>
        </w:rPr>
        <w:t>, the following stipulations:</w:t>
      </w:r>
      <w:r>
        <w:rPr>
          <w:rFonts w:ascii="Arial" w:eastAsia="Times New Roman" w:hAnsi="Arial" w:cs="Arial"/>
          <w:color w:val="202020"/>
          <w:sz w:val="21"/>
          <w:szCs w:val="21"/>
          <w:lang w:val="en-GB"/>
        </w:rPr>
        <w:br/>
      </w:r>
      <w:bookmarkStart w:id="22" w:name="para4lg3p1"/>
      <w:r>
        <w:rPr>
          <w:rFonts w:ascii="Arial" w:eastAsia="Times New Roman" w:hAnsi="Arial" w:cs="Arial"/>
          <w:color w:val="0061AA"/>
          <w:sz w:val="21"/>
          <w:szCs w:val="21"/>
          <w:bdr w:val="none" w:sz="0" w:space="0" w:color="auto" w:frame="1"/>
          <w:lang w:val="en-GB"/>
        </w:rPr>
        <w:t> </w:t>
      </w:r>
      <w:bookmarkEnd w:id="22"/>
      <w:r>
        <w:rPr>
          <w:rFonts w:ascii="Arial" w:eastAsia="Times New Roman" w:hAnsi="Arial" w:cs="Arial"/>
          <w:color w:val="202020"/>
          <w:sz w:val="21"/>
          <w:szCs w:val="21"/>
          <w:lang w:val="en-GB"/>
        </w:rPr>
        <w:t>1)</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extent of the rights and obligations of the processor when processing the Gene Bank.</w:t>
      </w:r>
      <w:r>
        <w:rPr>
          <w:rFonts w:ascii="Arial" w:eastAsia="Times New Roman" w:hAnsi="Arial" w:cs="Arial"/>
          <w:color w:val="202020"/>
          <w:sz w:val="21"/>
          <w:szCs w:val="21"/>
          <w:lang w:val="en-GB"/>
        </w:rPr>
        <w:br/>
      </w:r>
      <w:bookmarkStart w:id="23" w:name="para4lg3p2"/>
      <w:r>
        <w:rPr>
          <w:rFonts w:ascii="Arial" w:eastAsia="Times New Roman" w:hAnsi="Arial" w:cs="Arial"/>
          <w:color w:val="0061AA"/>
          <w:sz w:val="21"/>
          <w:szCs w:val="21"/>
          <w:bdr w:val="none" w:sz="0" w:space="0" w:color="auto" w:frame="1"/>
          <w:lang w:val="en-GB"/>
        </w:rPr>
        <w:lastRenderedPageBreak/>
        <w:t> </w:t>
      </w:r>
      <w:bookmarkEnd w:id="23"/>
      <w:r>
        <w:rPr>
          <w:rFonts w:ascii="Arial" w:eastAsia="Times New Roman" w:hAnsi="Arial" w:cs="Arial"/>
          <w:color w:val="202020"/>
          <w:sz w:val="21"/>
          <w:szCs w:val="21"/>
          <w:lang w:val="en-GB"/>
        </w:rPr>
        <w:t>2)</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security and safety measures to be applied by the processor.</w:t>
      </w:r>
      <w:r>
        <w:rPr>
          <w:rFonts w:ascii="Arial" w:eastAsia="Times New Roman" w:hAnsi="Arial" w:cs="Arial"/>
          <w:color w:val="202020"/>
          <w:sz w:val="21"/>
          <w:szCs w:val="21"/>
          <w:lang w:val="en-GB"/>
        </w:rPr>
        <w:br/>
      </w:r>
      <w:bookmarkStart w:id="24" w:name="para4lg3p3"/>
      <w:r>
        <w:rPr>
          <w:rFonts w:ascii="Arial" w:eastAsia="Times New Roman" w:hAnsi="Arial" w:cs="Arial"/>
          <w:color w:val="0061AA"/>
          <w:sz w:val="21"/>
          <w:szCs w:val="21"/>
          <w:bdr w:val="none" w:sz="0" w:space="0" w:color="auto" w:frame="1"/>
          <w:lang w:val="en-GB"/>
        </w:rPr>
        <w:t> </w:t>
      </w:r>
      <w:bookmarkEnd w:id="24"/>
      <w:r>
        <w:rPr>
          <w:rFonts w:ascii="Arial" w:eastAsia="Times New Roman" w:hAnsi="Arial" w:cs="Arial"/>
          <w:color w:val="202020"/>
          <w:sz w:val="21"/>
          <w:szCs w:val="21"/>
          <w:lang w:val="en-GB"/>
        </w:rPr>
        <w:t>3)</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Other requirements of the work organisation of the processor.</w:t>
      </w:r>
      <w:r>
        <w:rPr>
          <w:rFonts w:ascii="Arial" w:eastAsia="Times New Roman" w:hAnsi="Arial" w:cs="Arial"/>
          <w:color w:val="202020"/>
          <w:sz w:val="21"/>
          <w:szCs w:val="21"/>
          <w:lang w:val="en-GB"/>
        </w:rPr>
        <w:br/>
      </w:r>
      <w:bookmarkStart w:id="25" w:name="para4lg3p4"/>
      <w:r>
        <w:rPr>
          <w:rFonts w:ascii="Arial" w:eastAsia="Times New Roman" w:hAnsi="Arial" w:cs="Arial"/>
          <w:color w:val="0061AA"/>
          <w:sz w:val="21"/>
          <w:szCs w:val="21"/>
          <w:bdr w:val="none" w:sz="0" w:space="0" w:color="auto" w:frame="1"/>
          <w:lang w:val="en-GB"/>
        </w:rPr>
        <w:t> </w:t>
      </w:r>
      <w:bookmarkEnd w:id="25"/>
      <w:r>
        <w:rPr>
          <w:rFonts w:ascii="Arial" w:eastAsia="Times New Roman" w:hAnsi="Arial" w:cs="Arial"/>
          <w:color w:val="202020"/>
          <w:sz w:val="21"/>
          <w:szCs w:val="21"/>
          <w:lang w:val="en-GB"/>
        </w:rPr>
        <w:t>4)</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arrangements for training the processor and their employees.</w:t>
      </w:r>
      <w:r>
        <w:rPr>
          <w:rFonts w:ascii="Arial" w:eastAsia="Times New Roman" w:hAnsi="Arial" w:cs="Arial"/>
          <w:color w:val="202020"/>
          <w:sz w:val="21"/>
          <w:szCs w:val="21"/>
          <w:lang w:val="en-GB"/>
        </w:rPr>
        <w:br/>
      </w:r>
      <w:bookmarkStart w:id="26" w:name="para4lg3p5"/>
      <w:r>
        <w:rPr>
          <w:rFonts w:ascii="Arial" w:eastAsia="Times New Roman" w:hAnsi="Arial" w:cs="Arial"/>
          <w:color w:val="0061AA"/>
          <w:sz w:val="21"/>
          <w:szCs w:val="21"/>
          <w:bdr w:val="none" w:sz="0" w:space="0" w:color="auto" w:frame="1"/>
          <w:lang w:val="en-GB"/>
        </w:rPr>
        <w:t> </w:t>
      </w:r>
      <w:bookmarkEnd w:id="26"/>
      <w:r>
        <w:rPr>
          <w:rFonts w:ascii="Arial" w:eastAsia="Times New Roman" w:hAnsi="Arial" w:cs="Arial"/>
          <w:color w:val="202020"/>
          <w:sz w:val="21"/>
          <w:szCs w:val="21"/>
          <w:lang w:val="en-GB"/>
        </w:rPr>
        <w:t>5)</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remuneration procedure of the processor.</w:t>
      </w:r>
      <w:r>
        <w:rPr>
          <w:rFonts w:ascii="Arial" w:eastAsia="Times New Roman" w:hAnsi="Arial" w:cs="Arial"/>
          <w:color w:val="202020"/>
          <w:sz w:val="21"/>
          <w:szCs w:val="21"/>
          <w:lang w:val="en-GB"/>
        </w:rPr>
        <w:br/>
      </w:r>
      <w:bookmarkStart w:id="27" w:name="para4lg3p6"/>
      <w:r>
        <w:rPr>
          <w:rFonts w:ascii="Arial" w:eastAsia="Times New Roman" w:hAnsi="Arial" w:cs="Arial"/>
          <w:color w:val="0061AA"/>
          <w:sz w:val="21"/>
          <w:szCs w:val="21"/>
          <w:bdr w:val="none" w:sz="0" w:space="0" w:color="auto" w:frame="1"/>
          <w:lang w:val="en-GB"/>
        </w:rPr>
        <w:t> </w:t>
      </w:r>
      <w:bookmarkEnd w:id="27"/>
      <w:r>
        <w:rPr>
          <w:rFonts w:ascii="Arial" w:eastAsia="Times New Roman" w:hAnsi="Arial" w:cs="Arial"/>
          <w:color w:val="202020"/>
          <w:sz w:val="21"/>
          <w:szCs w:val="21"/>
          <w:lang w:val="en-GB"/>
        </w:rPr>
        <w:t>6)</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The procedure for provision of materials and equipment to the person taking tissue samples and the person preparing descriptions of health condition.</w:t>
      </w:r>
      <w:r>
        <w:rPr>
          <w:rFonts w:ascii="Arial" w:eastAsia="Times New Roman" w:hAnsi="Arial" w:cs="Arial"/>
          <w:color w:val="202020"/>
          <w:sz w:val="21"/>
          <w:szCs w:val="21"/>
          <w:lang w:val="en-GB"/>
        </w:rPr>
        <w:br/>
      </w:r>
      <w:bookmarkStart w:id="28" w:name="para4lg3p7"/>
      <w:r>
        <w:rPr>
          <w:rFonts w:ascii="Arial" w:eastAsia="Times New Roman" w:hAnsi="Arial" w:cs="Arial"/>
          <w:color w:val="0061AA"/>
          <w:sz w:val="21"/>
          <w:szCs w:val="21"/>
          <w:bdr w:val="none" w:sz="0" w:space="0" w:color="auto" w:frame="1"/>
          <w:lang w:val="en-GB"/>
        </w:rPr>
        <w:t> </w:t>
      </w:r>
      <w:bookmarkEnd w:id="28"/>
      <w:r>
        <w:rPr>
          <w:rFonts w:ascii="Arial" w:eastAsia="Times New Roman" w:hAnsi="Arial" w:cs="Arial"/>
          <w:color w:val="202020"/>
          <w:sz w:val="21"/>
          <w:szCs w:val="21"/>
          <w:lang w:val="en-GB"/>
        </w:rPr>
        <w:t>7)</w:t>
      </w:r>
      <w:r>
        <w:rPr>
          <w:rFonts w:ascii="Arial" w:eastAsia="Times New Roman" w:hAnsi="Arial" w:cs="Arial"/>
          <w:color w:val="202020"/>
          <w:sz w:val="21"/>
          <w:szCs w:val="21"/>
          <w:bdr w:val="none" w:sz="0" w:space="0" w:color="auto" w:frame="1"/>
          <w:lang w:val="en-GB"/>
        </w:rPr>
        <w:t> </w:t>
      </w:r>
      <w:r>
        <w:rPr>
          <w:rFonts w:ascii="Arial" w:eastAsia="Times New Roman" w:hAnsi="Arial" w:cs="Arial"/>
          <w:color w:val="202020"/>
          <w:sz w:val="21"/>
          <w:szCs w:val="21"/>
          <w:lang w:val="en-GB"/>
        </w:rPr>
        <w:t>Liability of parties and the procedure for resolution of disputes.</w:t>
      </w:r>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5.</w:t>
      </w:r>
      <w:bookmarkStart w:id="29" w:name="para5"/>
      <w:r>
        <w:rPr>
          <w:rFonts w:ascii="Arial" w:eastAsia="Times New Roman" w:hAnsi="Arial" w:cs="Arial"/>
          <w:b/>
          <w:bCs/>
          <w:color w:val="0061AA"/>
          <w:sz w:val="21"/>
          <w:szCs w:val="21"/>
          <w:bdr w:val="none" w:sz="0" w:space="0" w:color="auto" w:frame="1"/>
          <w:lang w:val="en-GB"/>
        </w:rPr>
        <w:t> </w:t>
      </w:r>
      <w:bookmarkEnd w:id="29"/>
      <w:r>
        <w:rPr>
          <w:rFonts w:ascii="Arial" w:eastAsia="Times New Roman" w:hAnsi="Arial" w:cs="Arial"/>
          <w:b/>
          <w:bCs/>
          <w:color w:val="000000"/>
          <w:sz w:val="21"/>
          <w:szCs w:val="21"/>
          <w:lang w:val="en-GB"/>
        </w:rPr>
        <w:t>Special requirements to the monitor</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30" w:name="para5lg1"/>
      <w:r>
        <w:rPr>
          <w:rFonts w:ascii="Arial" w:eastAsia="Times New Roman" w:hAnsi="Arial" w:cs="Arial"/>
          <w:color w:val="0061AA"/>
          <w:sz w:val="21"/>
          <w:szCs w:val="21"/>
          <w:bdr w:val="none" w:sz="0" w:space="0" w:color="auto" w:frame="1"/>
          <w:lang w:val="en-GB"/>
        </w:rPr>
        <w:t> </w:t>
      </w:r>
      <w:bookmarkEnd w:id="30"/>
      <w:r>
        <w:rPr>
          <w:rFonts w:ascii="Arial" w:eastAsia="Times New Roman" w:hAnsi="Arial" w:cs="Arial"/>
          <w:color w:val="202020"/>
          <w:sz w:val="21"/>
          <w:szCs w:val="21"/>
          <w:lang w:val="en-GB"/>
        </w:rPr>
        <w:t>(1) For the purposes of this Regulation, a monitor is a person who examines whether the processor meets their obligations properly and if the data and tissue samples to be submitted to the controller of the Gene Bank comply with the requirements.</w:t>
      </w:r>
    </w:p>
    <w:p w:rsidR="00071535" w:rsidRPr="006F099F" w:rsidRDefault="00FE6AB0" w:rsidP="00FE6AB0">
      <w:pPr>
        <w:shd w:val="clear" w:color="auto" w:fill="FFFFFF"/>
        <w:spacing w:after="0" w:line="240" w:lineRule="auto"/>
        <w:rPr>
          <w:rFonts w:ascii="Arial" w:eastAsia="Times New Roman" w:hAnsi="Arial" w:cs="Arial"/>
          <w:color w:val="202020"/>
          <w:sz w:val="21"/>
          <w:szCs w:val="21"/>
          <w:lang w:val="en-GB"/>
        </w:rPr>
      </w:pPr>
      <w:bookmarkStart w:id="31" w:name="para5lg2"/>
      <w:r>
        <w:rPr>
          <w:rFonts w:ascii="Arial" w:eastAsia="Times New Roman" w:hAnsi="Arial" w:cs="Arial"/>
          <w:color w:val="0061AA"/>
          <w:sz w:val="21"/>
          <w:szCs w:val="21"/>
          <w:bdr w:val="none" w:sz="0" w:space="0" w:color="auto" w:frame="1"/>
          <w:lang w:val="en-GB"/>
        </w:rPr>
        <w:t> </w:t>
      </w:r>
      <w:bookmarkEnd w:id="31"/>
      <w:r>
        <w:rPr>
          <w:rFonts w:ascii="Arial" w:eastAsia="Times New Roman" w:hAnsi="Arial" w:cs="Arial"/>
          <w:color w:val="202020"/>
          <w:sz w:val="21"/>
          <w:szCs w:val="21"/>
          <w:lang w:val="en-GB"/>
        </w:rPr>
        <w:t>(2) The monitor must have adequate training in the fields of medicine and science in order to perform their duties.</w:t>
      </w:r>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6.</w:t>
      </w:r>
      <w:bookmarkStart w:id="32" w:name="para6"/>
      <w:r>
        <w:rPr>
          <w:rFonts w:ascii="Arial" w:eastAsia="Times New Roman" w:hAnsi="Arial" w:cs="Arial"/>
          <w:b/>
          <w:bCs/>
          <w:color w:val="0061AA"/>
          <w:sz w:val="21"/>
          <w:szCs w:val="21"/>
          <w:bdr w:val="none" w:sz="0" w:space="0" w:color="auto" w:frame="1"/>
          <w:lang w:val="en-GB"/>
        </w:rPr>
        <w:t> </w:t>
      </w:r>
      <w:bookmarkEnd w:id="32"/>
      <w:r>
        <w:rPr>
          <w:rFonts w:ascii="Arial" w:eastAsia="Times New Roman" w:hAnsi="Arial" w:cs="Arial"/>
          <w:b/>
          <w:bCs/>
          <w:color w:val="000000"/>
          <w:sz w:val="21"/>
          <w:szCs w:val="21"/>
          <w:lang w:val="en-GB"/>
        </w:rPr>
        <w:t>Other special requirements</w:t>
      </w: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bookmarkStart w:id="33" w:name="para6lg1"/>
      <w:r>
        <w:rPr>
          <w:rFonts w:ascii="Arial" w:eastAsia="Times New Roman" w:hAnsi="Arial" w:cs="Arial"/>
          <w:color w:val="0061AA"/>
          <w:sz w:val="21"/>
          <w:szCs w:val="21"/>
          <w:bdr w:val="none" w:sz="0" w:space="0" w:color="auto" w:frame="1"/>
          <w:lang w:val="en-GB"/>
        </w:rPr>
        <w:t> </w:t>
      </w:r>
      <w:bookmarkEnd w:id="33"/>
      <w:r>
        <w:rPr>
          <w:rFonts w:ascii="Arial" w:eastAsia="Times New Roman" w:hAnsi="Arial" w:cs="Arial"/>
          <w:color w:val="202020"/>
          <w:sz w:val="21"/>
          <w:szCs w:val="21"/>
          <w:lang w:val="en-GB"/>
        </w:rPr>
        <w:t>(1) The processor must comply with the conditions for the preservation requirements of pseudonymised DNA samples, descriptions of DNA and descriptions of health condition established pursuant to subsection 18 (2) of the Human Genes Research Act.</w:t>
      </w:r>
    </w:p>
    <w:p w:rsidR="00071535" w:rsidRPr="006F099F" w:rsidRDefault="00FE6AB0" w:rsidP="00FE6AB0">
      <w:pPr>
        <w:shd w:val="clear" w:color="auto" w:fill="FFFFFF"/>
        <w:spacing w:after="0" w:line="240" w:lineRule="auto"/>
        <w:rPr>
          <w:rFonts w:ascii="Arial" w:eastAsia="Times New Roman" w:hAnsi="Arial" w:cs="Arial"/>
          <w:color w:val="202020"/>
          <w:sz w:val="21"/>
          <w:szCs w:val="21"/>
          <w:lang w:val="en-GB"/>
        </w:rPr>
      </w:pPr>
      <w:bookmarkStart w:id="34" w:name="para6lg2"/>
      <w:r>
        <w:rPr>
          <w:rFonts w:ascii="Arial" w:eastAsia="Times New Roman" w:hAnsi="Arial" w:cs="Arial"/>
          <w:color w:val="0061AA"/>
          <w:sz w:val="21"/>
          <w:szCs w:val="21"/>
          <w:bdr w:val="none" w:sz="0" w:space="0" w:color="auto" w:frame="1"/>
          <w:lang w:val="en-GB"/>
        </w:rPr>
        <w:t> </w:t>
      </w:r>
      <w:bookmarkEnd w:id="34"/>
      <w:r>
        <w:rPr>
          <w:rFonts w:ascii="Arial" w:eastAsia="Times New Roman" w:hAnsi="Arial" w:cs="Arial"/>
          <w:color w:val="202020"/>
          <w:sz w:val="21"/>
          <w:szCs w:val="21"/>
          <w:lang w:val="en-GB"/>
        </w:rPr>
        <w:t>(2) The processor who has a tissue sample or biological residues of the extracted DNA or the tissue sample in their possession must be able to destroy the tissue samples and the biological residues resulting from their treatment using an autoclave.</w:t>
      </w:r>
    </w:p>
    <w:p w:rsidR="00FE6AB0" w:rsidRPr="00FE6AB0" w:rsidRDefault="00FE6AB0" w:rsidP="00FE6AB0">
      <w:pPr>
        <w:shd w:val="clear" w:color="auto" w:fill="FFFFFF"/>
        <w:spacing w:after="0" w:line="240" w:lineRule="auto"/>
        <w:outlineLvl w:val="2"/>
        <w:rPr>
          <w:rFonts w:ascii="Arial" w:eastAsia="Times New Roman" w:hAnsi="Arial" w:cs="Arial"/>
          <w:b/>
          <w:bCs/>
          <w:color w:val="000000"/>
          <w:sz w:val="21"/>
          <w:szCs w:val="21"/>
        </w:rPr>
      </w:pPr>
      <w:r>
        <w:rPr>
          <w:rFonts w:ascii="Arial" w:eastAsia="Times New Roman" w:hAnsi="Arial" w:cs="Arial"/>
          <w:b/>
          <w:bCs/>
          <w:color w:val="000000"/>
          <w:sz w:val="21"/>
          <w:szCs w:val="21"/>
          <w:bdr w:val="none" w:sz="0" w:space="0" w:color="auto" w:frame="1"/>
          <w:lang w:val="en-GB"/>
        </w:rPr>
        <w:t>§ 7.</w:t>
      </w:r>
      <w:bookmarkStart w:id="35" w:name="para7"/>
      <w:r>
        <w:rPr>
          <w:rFonts w:ascii="Arial" w:eastAsia="Times New Roman" w:hAnsi="Arial" w:cs="Arial"/>
          <w:b/>
          <w:bCs/>
          <w:color w:val="0061AA"/>
          <w:sz w:val="21"/>
          <w:szCs w:val="21"/>
          <w:bdr w:val="none" w:sz="0" w:space="0" w:color="auto" w:frame="1"/>
          <w:lang w:val="en-GB"/>
        </w:rPr>
        <w:t> </w:t>
      </w:r>
      <w:bookmarkEnd w:id="35"/>
      <w:r>
        <w:rPr>
          <w:rFonts w:ascii="Arial" w:eastAsia="Times New Roman" w:hAnsi="Arial" w:cs="Arial"/>
          <w:b/>
          <w:bCs/>
          <w:color w:val="000000"/>
          <w:sz w:val="21"/>
          <w:szCs w:val="21"/>
          <w:lang w:val="en-GB"/>
        </w:rPr>
        <w:t>Entry into force of regulation</w:t>
      </w:r>
    </w:p>
    <w:p w:rsidR="00FE6AB0" w:rsidRDefault="00FE6AB0" w:rsidP="00FE6AB0">
      <w:pPr>
        <w:shd w:val="clear" w:color="auto" w:fill="FFFFFF"/>
        <w:spacing w:after="0" w:line="240" w:lineRule="auto"/>
        <w:rPr>
          <w:rFonts w:ascii="Arial" w:eastAsia="Times New Roman" w:hAnsi="Arial" w:cs="Arial"/>
          <w:color w:val="202020"/>
          <w:sz w:val="21"/>
          <w:szCs w:val="21"/>
          <w:lang w:val="en-GB"/>
        </w:rPr>
      </w:pPr>
      <w:bookmarkStart w:id="36" w:name="para7lg1"/>
      <w:r>
        <w:rPr>
          <w:rFonts w:ascii="Arial" w:eastAsia="Times New Roman" w:hAnsi="Arial" w:cs="Arial"/>
          <w:color w:val="0061AA"/>
          <w:sz w:val="21"/>
          <w:szCs w:val="21"/>
          <w:bdr w:val="none" w:sz="0" w:space="0" w:color="auto" w:frame="1"/>
          <w:lang w:val="en-GB"/>
        </w:rPr>
        <w:t> </w:t>
      </w:r>
      <w:bookmarkEnd w:id="36"/>
      <w:r>
        <w:rPr>
          <w:rFonts w:ascii="Arial" w:eastAsia="Times New Roman" w:hAnsi="Arial" w:cs="Arial"/>
          <w:color w:val="202020"/>
          <w:sz w:val="21"/>
          <w:szCs w:val="21"/>
          <w:lang w:val="en-GB"/>
        </w:rPr>
        <w:t> This regulation enters into force on 15 March 2019.</w:t>
      </w:r>
    </w:p>
    <w:p w:rsidR="009967F8" w:rsidRDefault="009967F8" w:rsidP="00FE6AB0">
      <w:pPr>
        <w:shd w:val="clear" w:color="auto" w:fill="FFFFFF"/>
        <w:spacing w:after="0" w:line="240" w:lineRule="auto"/>
        <w:rPr>
          <w:rFonts w:ascii="Arial" w:eastAsia="Times New Roman" w:hAnsi="Arial" w:cs="Arial"/>
          <w:color w:val="202020"/>
          <w:sz w:val="21"/>
          <w:szCs w:val="21"/>
          <w:lang w:val="en-GB"/>
        </w:rPr>
      </w:pPr>
    </w:p>
    <w:p w:rsidR="009967F8" w:rsidRDefault="009967F8" w:rsidP="00FE6AB0">
      <w:pPr>
        <w:shd w:val="clear" w:color="auto" w:fill="FFFFFF"/>
        <w:spacing w:after="0" w:line="240" w:lineRule="auto"/>
        <w:rPr>
          <w:rFonts w:ascii="Arial" w:eastAsia="Times New Roman" w:hAnsi="Arial" w:cs="Arial"/>
          <w:color w:val="202020"/>
          <w:sz w:val="21"/>
          <w:szCs w:val="21"/>
        </w:rPr>
      </w:pPr>
    </w:p>
    <w:p w:rsidR="00071535" w:rsidRPr="00FE6AB0" w:rsidRDefault="00071535" w:rsidP="00FE6AB0">
      <w:pPr>
        <w:shd w:val="clear" w:color="auto" w:fill="FFFFFF"/>
        <w:spacing w:after="0" w:line="240" w:lineRule="auto"/>
        <w:rPr>
          <w:rFonts w:ascii="Arial" w:eastAsia="Times New Roman" w:hAnsi="Arial" w:cs="Arial"/>
          <w:color w:val="202020"/>
          <w:sz w:val="21"/>
          <w:szCs w:val="21"/>
        </w:rPr>
      </w:pPr>
    </w:p>
    <w:p w:rsidR="00FE6AB0" w:rsidRPr="00FE6AB0" w:rsidRDefault="00FE6AB0" w:rsidP="00FE6AB0">
      <w:pPr>
        <w:shd w:val="clear" w:color="auto" w:fill="FFFFFF"/>
        <w:spacing w:after="0" w:line="240" w:lineRule="auto"/>
        <w:rPr>
          <w:rFonts w:ascii="Arial" w:eastAsia="Times New Roman" w:hAnsi="Arial" w:cs="Arial"/>
          <w:color w:val="202020"/>
          <w:sz w:val="21"/>
          <w:szCs w:val="21"/>
        </w:rPr>
      </w:pPr>
      <w:r>
        <w:rPr>
          <w:rFonts w:ascii="Arial" w:eastAsia="Times New Roman" w:hAnsi="Arial" w:cs="Arial"/>
          <w:color w:val="202020"/>
          <w:sz w:val="21"/>
          <w:szCs w:val="21"/>
          <w:lang w:val="en-GB"/>
        </w:rPr>
        <w:t>Riina Sikkut</w:t>
      </w:r>
      <w:r>
        <w:rPr>
          <w:rFonts w:ascii="Arial" w:eastAsia="Times New Roman" w:hAnsi="Arial" w:cs="Arial"/>
          <w:color w:val="202020"/>
          <w:sz w:val="21"/>
          <w:szCs w:val="21"/>
          <w:lang w:val="en-GB"/>
        </w:rPr>
        <w:br/>
        <w:t>Minister of Health and Labour</w:t>
      </w:r>
    </w:p>
    <w:p w:rsidR="00FE6AB0" w:rsidRPr="00FE6AB0" w:rsidRDefault="00FE6AB0" w:rsidP="00FE6AB0">
      <w:pPr>
        <w:shd w:val="clear" w:color="auto" w:fill="FFFFFF"/>
        <w:spacing w:before="120" w:after="0" w:line="240" w:lineRule="auto"/>
        <w:rPr>
          <w:rFonts w:ascii="Arial" w:eastAsia="Times New Roman" w:hAnsi="Arial" w:cs="Arial"/>
          <w:color w:val="202020"/>
          <w:sz w:val="21"/>
          <w:szCs w:val="21"/>
        </w:rPr>
      </w:pPr>
      <w:r>
        <w:rPr>
          <w:rFonts w:ascii="Arial" w:eastAsia="Times New Roman" w:hAnsi="Arial" w:cs="Arial"/>
          <w:color w:val="202020"/>
          <w:sz w:val="21"/>
          <w:szCs w:val="21"/>
          <w:lang w:val="en-GB"/>
        </w:rPr>
        <w:t>Marika Priske</w:t>
      </w:r>
      <w:r>
        <w:rPr>
          <w:rFonts w:ascii="Arial" w:eastAsia="Times New Roman" w:hAnsi="Arial" w:cs="Arial"/>
          <w:color w:val="202020"/>
          <w:sz w:val="21"/>
          <w:szCs w:val="21"/>
          <w:lang w:val="en-GB"/>
        </w:rPr>
        <w:br/>
        <w:t>Secretary General</w:t>
      </w:r>
    </w:p>
    <w:p w:rsidR="0081454D" w:rsidRDefault="0081454D"/>
    <w:sectPr w:rsidR="00814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B0"/>
    <w:rsid w:val="00045525"/>
    <w:rsid w:val="00071535"/>
    <w:rsid w:val="006F099F"/>
    <w:rsid w:val="0081454D"/>
    <w:rsid w:val="009967F8"/>
    <w:rsid w:val="00FE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A329"/>
  <w15:chartTrackingRefBased/>
  <w15:docId w15:val="{F2C1739F-F250-4EC1-8303-191FDC30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33109">
      <w:bodyDiv w:val="1"/>
      <w:marLeft w:val="0"/>
      <w:marRight w:val="0"/>
      <w:marTop w:val="0"/>
      <w:marBottom w:val="0"/>
      <w:divBdr>
        <w:top w:val="none" w:sz="0" w:space="0" w:color="auto"/>
        <w:left w:val="none" w:sz="0" w:space="0" w:color="auto"/>
        <w:bottom w:val="none" w:sz="0" w:space="0" w:color="auto"/>
        <w:right w:val="none" w:sz="0" w:space="0" w:color="auto"/>
      </w:divBdr>
      <w:divsChild>
        <w:div w:id="897862585">
          <w:marLeft w:val="0"/>
          <w:marRight w:val="0"/>
          <w:marTop w:val="0"/>
          <w:marBottom w:val="0"/>
          <w:divBdr>
            <w:top w:val="none" w:sz="0" w:space="0" w:color="auto"/>
            <w:left w:val="none" w:sz="0" w:space="0" w:color="auto"/>
            <w:bottom w:val="none" w:sz="0" w:space="0" w:color="auto"/>
            <w:right w:val="none" w:sz="0" w:space="0" w:color="auto"/>
          </w:divBdr>
          <w:divsChild>
            <w:div w:id="2030984062">
              <w:marLeft w:val="0"/>
              <w:marRight w:val="0"/>
              <w:marTop w:val="0"/>
              <w:marBottom w:val="0"/>
              <w:divBdr>
                <w:top w:val="none" w:sz="0" w:space="0" w:color="auto"/>
                <w:left w:val="none" w:sz="0" w:space="0" w:color="auto"/>
                <w:bottom w:val="none" w:sz="0" w:space="0" w:color="auto"/>
                <w:right w:val="none" w:sz="0" w:space="0" w:color="auto"/>
              </w:divBdr>
            </w:div>
            <w:div w:id="320543607">
              <w:marLeft w:val="0"/>
              <w:marRight w:val="0"/>
              <w:marTop w:val="0"/>
              <w:marBottom w:val="0"/>
              <w:divBdr>
                <w:top w:val="none" w:sz="0" w:space="0" w:color="auto"/>
                <w:left w:val="none" w:sz="0" w:space="0" w:color="auto"/>
                <w:bottom w:val="none" w:sz="0" w:space="0" w:color="auto"/>
                <w:right w:val="none" w:sz="0" w:space="0" w:color="auto"/>
              </w:divBdr>
            </w:div>
          </w:divsChild>
        </w:div>
        <w:div w:id="1876965421">
          <w:marLeft w:val="0"/>
          <w:marRight w:val="0"/>
          <w:marTop w:val="0"/>
          <w:marBottom w:val="0"/>
          <w:divBdr>
            <w:top w:val="none" w:sz="0" w:space="0" w:color="auto"/>
            <w:left w:val="none" w:sz="0" w:space="0" w:color="auto"/>
            <w:bottom w:val="none" w:sz="0" w:space="0" w:color="auto"/>
            <w:right w:val="none" w:sz="0" w:space="0" w:color="auto"/>
          </w:divBdr>
          <w:divsChild>
            <w:div w:id="68610411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12032019027&amp;id=114032014030!pr5lg1" TargetMode="External"/><Relationship Id="rId3" Type="http://schemas.openxmlformats.org/officeDocument/2006/relationships/customXml" Target="../customXml/item3.xml"/><Relationship Id="rId7" Type="http://schemas.openxmlformats.org/officeDocument/2006/relationships/hyperlink" Target="https://www.riigiteataja.ee/akt_digitemplid.html?id=1120320190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635E3D3C082646838421B2AC9035F8" ma:contentTypeVersion="10" ma:contentTypeDescription="Loo uus dokument" ma:contentTypeScope="" ma:versionID="b944adf521d5ab16f9bb97f0ecdb1237">
  <xsd:schema xmlns:xsd="http://www.w3.org/2001/XMLSchema" xmlns:xs="http://www.w3.org/2001/XMLSchema" xmlns:p="http://schemas.microsoft.com/office/2006/metadata/properties" xmlns:ns2="e840611a-4431-4cf3-a540-64c490515c58" xmlns:ns3="6bf7e6fd-cff1-486a-a410-59a774575087" targetNamespace="http://schemas.microsoft.com/office/2006/metadata/properties" ma:root="true" ma:fieldsID="7b50b616213751667a01b7185599bc5a" ns2:_="" ns3:_="">
    <xsd:import namespace="e840611a-4431-4cf3-a540-64c490515c58"/>
    <xsd:import namespace="6bf7e6fd-cff1-486a-a410-59a7745750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0611a-4431-4cf3-a540-64c490515c58"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7e6fd-cff1-486a-a410-59a7745750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D8F57-3CFB-40BA-BC38-B67BA5279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326303-EFED-4361-9E4E-9F5AA11F4B05}">
  <ds:schemaRefs>
    <ds:schemaRef ds:uri="http://schemas.microsoft.com/sharepoint/v3/contenttype/forms"/>
  </ds:schemaRefs>
</ds:datastoreItem>
</file>

<file path=customXml/itemProps3.xml><?xml version="1.0" encoding="utf-8"?>
<ds:datastoreItem xmlns:ds="http://schemas.openxmlformats.org/officeDocument/2006/customXml" ds:itemID="{CA48A12F-8693-4EE0-96ED-81978DB2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0611a-4431-4cf3-a540-64c490515c58"/>
    <ds:schemaRef ds:uri="6bf7e6fd-cff1-486a-a410-59a77457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Krista-Roberta Saviauk</dc:creator>
  <cp:keywords/>
  <dc:description/>
  <cp:lastModifiedBy>Evelin Tali</cp:lastModifiedBy>
  <cp:revision>5</cp:revision>
  <dcterms:created xsi:type="dcterms:W3CDTF">2019-11-11T15:15:00Z</dcterms:created>
  <dcterms:modified xsi:type="dcterms:W3CDTF">2019-12-09T14:07:00Z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0x01010062635E3D3C082646838421B2AC9035F8</vt:lpwstr>
  </property>
</Properties>
</file>